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7B43C5">
      <w:headerReference w:type="default" r:id="rId10"/>
      <w:footerReference w:type="default" r:id="rId11"/>
      <w:headerReference w:type="first" r:id="rId12"/>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52F8" w14:textId="6C980D36" w:rsidR="007B43C5" w:rsidRDefault="007B43C5" w:rsidP="007B43C5">
    <w:pPr>
      <w:pStyle w:val="Antrats"/>
      <w:jc w:val="right"/>
    </w:pPr>
    <w:r>
      <w:t>Specialiųjų sutarties sąlygų x priedas „Bendrosios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B43C5"/>
    <w:rsid w:val="007D4CAA"/>
    <w:rsid w:val="0083118A"/>
    <w:rsid w:val="00925978"/>
    <w:rsid w:val="009728BC"/>
    <w:rsid w:val="009D36AE"/>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